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41" w:rsidRPr="00D34F41" w:rsidRDefault="00D34F41" w:rsidP="00D34F41">
      <w:pPr>
        <w:pStyle w:val="SupplementalMaterialsTitle"/>
        <w:rPr>
          <w:rFonts w:eastAsia="Times New Roman"/>
          <w:lang w:eastAsia="tr-TR"/>
        </w:rPr>
      </w:pPr>
      <w:r w:rsidRPr="00D34F41">
        <w:rPr>
          <w:rFonts w:eastAsia="Times New Roman"/>
          <w:lang w:eastAsia="tr-TR"/>
        </w:rPr>
        <w:t>Synthesis, Structural and Thermal Characterizations and In vitro Cytotoxic Activities of New Cyclotriphosphazene Derivatives</w:t>
      </w:r>
    </w:p>
    <w:p w:rsidR="00D34F41" w:rsidRPr="00D34F41" w:rsidRDefault="00D34F41" w:rsidP="00D34F41">
      <w:pPr>
        <w:pStyle w:val="SupplementalMaterialsAuthors"/>
        <w:rPr>
          <w:rFonts w:eastAsia="Times New Roman"/>
          <w:lang w:eastAsia="tr-TR"/>
        </w:rPr>
      </w:pPr>
      <w:r w:rsidRPr="00D34F41">
        <w:rPr>
          <w:rFonts w:eastAsia="Times New Roman"/>
          <w:lang w:eastAsia="tr-TR"/>
        </w:rPr>
        <w:t>Kenan Koran</w:t>
      </w:r>
      <w:r w:rsidRPr="00D34F41">
        <w:rPr>
          <w:rFonts w:eastAsia="Times New Roman"/>
          <w:vertAlign w:val="superscript"/>
          <w:lang w:eastAsia="tr-TR"/>
        </w:rPr>
        <w:t>1,</w:t>
      </w:r>
      <w:r w:rsidRPr="00D34F41">
        <w:rPr>
          <w:rFonts w:eastAsia="Times New Roman"/>
          <w:lang w:eastAsia="tr-TR"/>
        </w:rPr>
        <w:t>*, Çiğdem Tekin</w:t>
      </w:r>
      <w:r w:rsidRPr="00D34F41">
        <w:rPr>
          <w:rFonts w:eastAsia="Times New Roman"/>
          <w:vertAlign w:val="superscript"/>
          <w:lang w:eastAsia="tr-TR"/>
        </w:rPr>
        <w:t>2</w:t>
      </w:r>
      <w:r w:rsidRPr="00D34F41">
        <w:rPr>
          <w:rFonts w:eastAsia="Times New Roman"/>
          <w:lang w:eastAsia="tr-TR"/>
        </w:rPr>
        <w:t>, Eray Çalışkan</w:t>
      </w:r>
      <w:r w:rsidRPr="00D34F41">
        <w:rPr>
          <w:rFonts w:eastAsia="Times New Roman"/>
          <w:vertAlign w:val="superscript"/>
          <w:lang w:eastAsia="tr-TR"/>
        </w:rPr>
        <w:t>3</w:t>
      </w:r>
      <w:r w:rsidRPr="00D34F41">
        <w:rPr>
          <w:rFonts w:eastAsia="Times New Roman"/>
          <w:lang w:eastAsia="tr-TR"/>
        </w:rPr>
        <w:t>, Suat Tekin</w:t>
      </w:r>
      <w:r w:rsidRPr="00D34F41">
        <w:rPr>
          <w:rFonts w:eastAsia="Times New Roman"/>
          <w:vertAlign w:val="superscript"/>
          <w:lang w:eastAsia="tr-TR"/>
        </w:rPr>
        <w:t>4</w:t>
      </w:r>
      <w:r w:rsidRPr="00D34F41">
        <w:rPr>
          <w:rFonts w:eastAsia="Times New Roman"/>
          <w:lang w:eastAsia="tr-TR"/>
        </w:rPr>
        <w:t>, Süleyman Sandal</w:t>
      </w:r>
      <w:r w:rsidRPr="00D34F41">
        <w:rPr>
          <w:rFonts w:eastAsia="Times New Roman"/>
          <w:vertAlign w:val="superscript"/>
          <w:lang w:eastAsia="tr-TR"/>
        </w:rPr>
        <w:t>4</w:t>
      </w:r>
      <w:r w:rsidRPr="00D34F41">
        <w:rPr>
          <w:rFonts w:eastAsia="Times New Roman"/>
          <w:lang w:eastAsia="tr-TR"/>
        </w:rPr>
        <w:t>, Ahmet Orhan Görgülü</w:t>
      </w:r>
      <w:r w:rsidRPr="00D34F41">
        <w:rPr>
          <w:rFonts w:eastAsia="Times New Roman"/>
          <w:vertAlign w:val="superscript"/>
          <w:lang w:eastAsia="tr-TR"/>
        </w:rPr>
        <w:t>1</w:t>
      </w:r>
    </w:p>
    <w:p w:rsidR="00D34F41" w:rsidRPr="00D34F41" w:rsidRDefault="00D34F41" w:rsidP="00D34F41">
      <w:pPr>
        <w:pStyle w:val="SupplementalMaterialsAffiliation"/>
        <w:rPr>
          <w:rFonts w:eastAsia="Calibri"/>
        </w:rPr>
      </w:pPr>
      <w:r w:rsidRPr="00D34F41">
        <w:rPr>
          <w:rFonts w:eastAsia="Calibri"/>
          <w:vertAlign w:val="superscript"/>
        </w:rPr>
        <w:t>1</w:t>
      </w:r>
      <w:r w:rsidRPr="00D34F41">
        <w:rPr>
          <w:rFonts w:eastAsia="Calibri"/>
        </w:rPr>
        <w:t>Firat University, Faculty of Science, Department of Chemistry Elazığ, Turkey</w:t>
      </w:r>
    </w:p>
    <w:p w:rsidR="00D34F41" w:rsidRPr="00D34F41" w:rsidRDefault="00D34F41" w:rsidP="00D34F41">
      <w:pPr>
        <w:pStyle w:val="SupplementalMaterialsAffiliation"/>
        <w:rPr>
          <w:rFonts w:eastAsia="Calibri"/>
        </w:rPr>
      </w:pPr>
      <w:r w:rsidRPr="00D34F41">
        <w:rPr>
          <w:rFonts w:eastAsia="Calibri"/>
          <w:vertAlign w:val="superscript"/>
        </w:rPr>
        <w:t>2</w:t>
      </w:r>
      <w:r w:rsidRPr="00D34F41">
        <w:rPr>
          <w:rFonts w:eastAsia="Calibri"/>
        </w:rPr>
        <w:t>Department of Public Health, Faculty of Medicine, Inonu University, Malatya, Turkey</w:t>
      </w:r>
    </w:p>
    <w:p w:rsidR="00D34F41" w:rsidRPr="00D34F41" w:rsidRDefault="00D34F41" w:rsidP="00D34F41">
      <w:pPr>
        <w:pStyle w:val="SupplementalMaterialsAffiliation"/>
        <w:rPr>
          <w:rFonts w:eastAsia="Calibri"/>
        </w:rPr>
      </w:pPr>
      <w:r w:rsidRPr="00D34F41">
        <w:rPr>
          <w:rFonts w:eastAsia="Calibri"/>
          <w:vertAlign w:val="superscript"/>
        </w:rPr>
        <w:t>3</w:t>
      </w:r>
      <w:r w:rsidRPr="00D34F41">
        <w:rPr>
          <w:rFonts w:eastAsia="Calibri"/>
        </w:rPr>
        <w:t>Bingol University, Faculty of Science, Department of Chemistry Bingöl, Turkey</w:t>
      </w:r>
    </w:p>
    <w:p w:rsidR="00D34F41" w:rsidRPr="00D34F41" w:rsidRDefault="00D34F41" w:rsidP="00D34F41">
      <w:pPr>
        <w:pStyle w:val="SupplementalMaterialsAffiliation"/>
        <w:rPr>
          <w:rFonts w:eastAsia="Calibri"/>
        </w:rPr>
      </w:pPr>
      <w:r w:rsidRPr="00D34F41">
        <w:rPr>
          <w:rFonts w:eastAsia="Calibri"/>
        </w:rPr>
        <w:t xml:space="preserve"> </w:t>
      </w:r>
      <w:r w:rsidRPr="00D34F41">
        <w:rPr>
          <w:rFonts w:eastAsia="Calibri"/>
          <w:vertAlign w:val="superscript"/>
        </w:rPr>
        <w:t>4</w:t>
      </w:r>
      <w:r w:rsidRPr="00D34F41">
        <w:rPr>
          <w:rFonts w:eastAsia="Calibri"/>
        </w:rPr>
        <w:t>Inonu University, Faculty of Medicine, Department of Physiology, Malatya, Turkey</w:t>
      </w:r>
    </w:p>
    <w:p w:rsidR="00D34F41" w:rsidRPr="00D34F41" w:rsidRDefault="00D34F41" w:rsidP="00D34F41">
      <w:pPr>
        <w:pStyle w:val="SupplementalMaterialsText"/>
        <w:rPr>
          <w:rFonts w:eastAsia="Times New Roman"/>
          <w:bCs/>
          <w:lang w:eastAsia="tr-TR"/>
        </w:rPr>
      </w:pPr>
      <w:r>
        <w:rPr>
          <w:rFonts w:eastAsia="Times New Roman"/>
          <w:bCs/>
          <w:lang w:eastAsia="tr-TR"/>
        </w:rPr>
        <w:t>Email</w:t>
      </w:r>
      <w:r w:rsidRPr="00D34F41">
        <w:rPr>
          <w:rFonts w:eastAsia="Times New Roman"/>
          <w:bCs/>
          <w:i/>
          <w:lang w:eastAsia="tr-TR"/>
        </w:rPr>
        <w:t xml:space="preserve">: </w:t>
      </w:r>
      <w:hyperlink r:id="rId7" w:history="1">
        <w:r w:rsidRPr="00D34F41">
          <w:rPr>
            <w:rFonts w:eastAsia="Times New Roman"/>
            <w:lang w:eastAsia="tr-TR"/>
          </w:rPr>
          <w:t>kkoran@firat.edu.tr</w:t>
        </w:r>
      </w:hyperlink>
    </w:p>
    <w:p w:rsidR="00EF26C6" w:rsidRDefault="000047F3" w:rsidP="000047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7F3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:rsidR="00D34F41" w:rsidRPr="00D34F41" w:rsidRDefault="00D34F41" w:rsidP="00D34F41">
      <w:pPr>
        <w:spacing w:after="12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705475" cy="2257630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Pr="00D34F41" w:rsidRDefault="00D34F41" w:rsidP="00D34F41">
      <w:pPr>
        <w:spacing w:after="12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543550" cy="219355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19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Pr="00D34F41" w:rsidRDefault="00D34F41" w:rsidP="00D34F41">
      <w:pPr>
        <w:spacing w:after="12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638800" cy="2244299"/>
            <wp:effectExtent l="0" t="0" r="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4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Pr="00D34F41" w:rsidRDefault="00D34F41" w:rsidP="00D34F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F41">
        <w:rPr>
          <w:rFonts w:ascii="Times New Roman" w:eastAsia="Calibri" w:hAnsi="Times New Roman" w:cs="Times New Roman"/>
          <w:b/>
          <w:sz w:val="24"/>
          <w:szCs w:val="24"/>
        </w:rPr>
        <w:t>Figure S 1.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 The relative cell viability (%) of A2780 (A), LNCaP (B) and PC-3 (C) cells after a 24-hour treatment with all the compounds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DPP-2, DPP-3, DPP-4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>DPP-8</w:t>
      </w:r>
      <w:r w:rsidRPr="00D34F41">
        <w:rPr>
          <w:rFonts w:ascii="Times New Roman" w:eastAsia="Calibri" w:hAnsi="Times New Roman" w:cs="Times New Roman"/>
          <w:sz w:val="24"/>
          <w:szCs w:val="24"/>
        </w:rPr>
        <w:t>.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The changes on the cell viability (%) caused by compounds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DPP-2, DPP-3, DPP-4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DPP-8 </w:t>
      </w:r>
      <w:r w:rsidRPr="00D34F41">
        <w:rPr>
          <w:rFonts w:ascii="Times New Roman" w:eastAsia="Calibri" w:hAnsi="Times New Roman" w:cs="Times New Roman"/>
          <w:sz w:val="24"/>
          <w:szCs w:val="24"/>
        </w:rPr>
        <w:t>are compared with the negative control data. Each data point is an average of 10 viability (*p&lt;0.05).</w:t>
      </w:r>
    </w:p>
    <w:p w:rsidR="00D34F41" w:rsidRPr="00D34F41" w:rsidRDefault="00D34F41" w:rsidP="00D34F41">
      <w:pPr>
        <w:spacing w:after="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762625" cy="2619375"/>
            <wp:effectExtent l="0" t="0" r="9525" b="9525"/>
            <wp:docPr id="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Pr="00D34F41" w:rsidRDefault="00D34F41" w:rsidP="00D34F41">
      <w:pPr>
        <w:spacing w:after="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753100" cy="2562225"/>
            <wp:effectExtent l="0" t="0" r="0" b="9525"/>
            <wp:docPr id="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Pr="00D34F41" w:rsidRDefault="00D34F41" w:rsidP="00D34F41">
      <w:pPr>
        <w:spacing w:after="0"/>
        <w:jc w:val="center"/>
        <w:rPr>
          <w:rFonts w:ascii="Times New Roman" w:eastAsia="Calibri" w:hAnsi="Times New Roman" w:cs="Times New Roman"/>
          <w:sz w:val="24"/>
          <w:lang w:val="tr-TR"/>
        </w:rPr>
      </w:pPr>
      <w:r w:rsidRPr="00D34F41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743575" cy="260032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41" w:rsidRDefault="00D34F41" w:rsidP="00D34F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sz w:val="24"/>
          <w:szCs w:val="24"/>
        </w:rPr>
        <w:t>S 2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 The relative cell viability (%) of A2780 (A), LNCaP (B) and PC-3 (C) cells after a 24-hour treatment with all the compounds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DPP-5, DPP-6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>DPP-7</w:t>
      </w:r>
      <w:r w:rsidRPr="00D34F41">
        <w:rPr>
          <w:rFonts w:ascii="Times New Roman" w:eastAsia="Calibri" w:hAnsi="Times New Roman" w:cs="Times New Roman"/>
          <w:sz w:val="24"/>
          <w:szCs w:val="24"/>
        </w:rPr>
        <w:t>.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The changes on the cell viability (%) caused by compounds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DPP-5, DPP-6 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D34F41">
        <w:rPr>
          <w:rFonts w:ascii="Times New Roman" w:eastAsia="Calibri" w:hAnsi="Times New Roman" w:cs="Times New Roman"/>
          <w:b/>
          <w:sz w:val="24"/>
          <w:szCs w:val="24"/>
        </w:rPr>
        <w:t xml:space="preserve">DPP-7 </w:t>
      </w:r>
      <w:r w:rsidRPr="00D34F41">
        <w:rPr>
          <w:rFonts w:ascii="Times New Roman" w:eastAsia="Calibri" w:hAnsi="Times New Roman" w:cs="Times New Roman"/>
          <w:sz w:val="24"/>
          <w:szCs w:val="24"/>
        </w:rPr>
        <w:t>are compared with the negative control data. Each data point is an average of 10 viability (*p&lt;0.05).</w:t>
      </w:r>
    </w:p>
    <w:p w:rsidR="00D34F41" w:rsidRDefault="00D34F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D34F41" w:rsidRPr="00D34F41" w:rsidRDefault="00D34F41" w:rsidP="00D34F41">
      <w:pPr>
        <w:spacing w:after="0" w:line="360" w:lineRule="auto"/>
        <w:ind w:left="993" w:hanging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F4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 </w:t>
      </w:r>
      <w:bookmarkStart w:id="0" w:name="_GoBack"/>
      <w:bookmarkEnd w:id="0"/>
      <w:r w:rsidRPr="00D34F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 </w:t>
      </w:r>
      <w:r w:rsidRPr="00D34F41">
        <w:rPr>
          <w:rFonts w:ascii="Times New Roman" w:eastAsia="Calibri" w:hAnsi="Times New Roman" w:cs="Times New Roman"/>
          <w:bCs/>
          <w:sz w:val="24"/>
          <w:szCs w:val="24"/>
        </w:rPr>
        <w:t>TGA results and LogIC</w:t>
      </w:r>
      <w:r w:rsidRPr="00D34F41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 xml:space="preserve">50 </w:t>
      </w:r>
      <w:r w:rsidRPr="00D34F41">
        <w:rPr>
          <w:rFonts w:ascii="Times New Roman" w:eastAsia="Calibri" w:hAnsi="Times New Roman" w:cs="Times New Roman"/>
          <w:bCs/>
          <w:sz w:val="24"/>
          <w:szCs w:val="24"/>
        </w:rPr>
        <w:t xml:space="preserve">values for compounds </w:t>
      </w:r>
      <w:r w:rsidRPr="00D34F41">
        <w:rPr>
          <w:rFonts w:ascii="Times New Roman" w:eastAsia="Calibri" w:hAnsi="Times New Roman" w:cs="Times New Roman"/>
          <w:b/>
          <w:bCs/>
          <w:sz w:val="24"/>
          <w:szCs w:val="24"/>
        </w:rPr>
        <w:t>DPP 2-8</w:t>
      </w:r>
      <w:r w:rsidRPr="00D34F4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51"/>
        <w:gridCol w:w="567"/>
        <w:gridCol w:w="283"/>
        <w:gridCol w:w="709"/>
        <w:gridCol w:w="142"/>
        <w:gridCol w:w="850"/>
        <w:gridCol w:w="851"/>
        <w:gridCol w:w="283"/>
        <w:gridCol w:w="567"/>
        <w:gridCol w:w="425"/>
        <w:gridCol w:w="426"/>
        <w:gridCol w:w="708"/>
        <w:gridCol w:w="426"/>
        <w:gridCol w:w="1134"/>
      </w:tblGrid>
      <w:tr w:rsidR="00D34F41" w:rsidRPr="00D34F41" w:rsidTr="006E4DC0">
        <w:trPr>
          <w:trHeight w:val="714"/>
        </w:trPr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TGA </w:t>
            </w:r>
          </w:p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results</w:t>
            </w:r>
          </w:p>
        </w:tc>
        <w:tc>
          <w:tcPr>
            <w:tcW w:w="8222" w:type="dxa"/>
            <w:gridSpan w:val="14"/>
            <w:tcBorders>
              <w:right w:val="single" w:sz="4" w:space="0" w:color="auto"/>
            </w:tcBorders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Cyclotriphosphazene compounds</w:t>
            </w:r>
          </w:p>
        </w:tc>
      </w:tr>
      <w:tr w:rsidR="00D34F41" w:rsidRPr="00D34F41" w:rsidTr="006E4DC0">
        <w:trPr>
          <w:trHeight w:val="714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2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3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4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5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6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7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8</w:t>
            </w:r>
          </w:p>
        </w:tc>
      </w:tr>
      <w:tr w:rsidR="00D34F41" w:rsidRPr="00D34F41" w:rsidTr="006E4DC0">
        <w:trPr>
          <w:trHeight w:val="393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</w:t>
            </w: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tr-TR" w:eastAsia="tr-TR"/>
              </w:rPr>
              <w:t>i</w:t>
            </w: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/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0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C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a</w:t>
            </w:r>
          </w:p>
        </w:tc>
        <w:tc>
          <w:tcPr>
            <w:tcW w:w="1418" w:type="dxa"/>
            <w:gridSpan w:val="2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302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294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294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300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312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304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271</w:t>
            </w:r>
          </w:p>
        </w:tc>
      </w:tr>
      <w:tr w:rsidR="00D34F41" w:rsidRPr="00D34F41" w:rsidTr="006E4DC0">
        <w:trPr>
          <w:trHeight w:val="444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</w:t>
            </w: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tr-TR" w:eastAsia="tr-TR"/>
              </w:rPr>
              <w:t>50%</w:t>
            </w: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/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0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C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b</w:t>
            </w:r>
          </w:p>
        </w:tc>
        <w:tc>
          <w:tcPr>
            <w:tcW w:w="1418" w:type="dxa"/>
            <w:gridSpan w:val="2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703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580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643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647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666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688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693</w:t>
            </w:r>
          </w:p>
        </w:tc>
      </w:tr>
      <w:tr w:rsidR="00D34F41" w:rsidRPr="00D34F41" w:rsidTr="006E4DC0">
        <w:trPr>
          <w:trHeight w:val="324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Residue (</w:t>
            </w: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%)</w:t>
            </w:r>
          </w:p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at 900 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0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C</w:t>
            </w:r>
          </w:p>
        </w:tc>
        <w:tc>
          <w:tcPr>
            <w:tcW w:w="1418" w:type="dxa"/>
            <w:gridSpan w:val="2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2.5</w:t>
            </w:r>
          </w:p>
        </w:tc>
        <w:tc>
          <w:tcPr>
            <w:tcW w:w="992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1134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21.5</w:t>
            </w:r>
          </w:p>
        </w:tc>
      </w:tr>
      <w:tr w:rsidR="00D34F41" w:rsidRPr="00D34F41" w:rsidTr="006E4DC0">
        <w:trPr>
          <w:trHeight w:val="344"/>
        </w:trPr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LogIC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 xml:space="preserve">50 </w:t>
            </w: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values</w:t>
            </w:r>
          </w:p>
        </w:tc>
        <w:tc>
          <w:tcPr>
            <w:tcW w:w="8222" w:type="dxa"/>
            <w:gridSpan w:val="14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Calibri" w:hAnsi="Times New Roman" w:cs="Times New Roman"/>
                <w:sz w:val="24"/>
                <w:szCs w:val="24"/>
              </w:rPr>
              <w:t>LogIC</w:t>
            </w:r>
            <w:r w:rsidRPr="00D34F4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50 </w:t>
            </w:r>
            <w:r w:rsidRPr="00D34F41">
              <w:rPr>
                <w:rFonts w:ascii="Times New Roman" w:eastAsia="Calibri" w:hAnsi="Times New Roman" w:cs="Times New Roman"/>
                <w:sz w:val="24"/>
                <w:szCs w:val="24"/>
              </w:rPr>
              <w:t>values (µM) of compounds</w:t>
            </w:r>
            <w:r w:rsidRPr="00D34F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DPP 2-8</w:t>
            </w:r>
            <w:r w:rsidRPr="00D3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against a panel of three cancer cell lines. LogIC</w:t>
            </w:r>
            <w:r w:rsidRPr="00D34F4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50</w:t>
            </w:r>
            <w:r w:rsidRPr="00D34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 the half maximal effective concentration of drug that reduces cell growth by 50%.</w:t>
            </w:r>
          </w:p>
        </w:tc>
      </w:tr>
      <w:tr w:rsidR="00D34F41" w:rsidRPr="00D34F41" w:rsidTr="006E4DC0">
        <w:trPr>
          <w:trHeight w:val="344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851" w:type="dxa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2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3</w:t>
            </w:r>
          </w:p>
        </w:tc>
        <w:tc>
          <w:tcPr>
            <w:tcW w:w="851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4</w:t>
            </w:r>
          </w:p>
        </w:tc>
        <w:tc>
          <w:tcPr>
            <w:tcW w:w="850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5</w:t>
            </w:r>
          </w:p>
        </w:tc>
        <w:tc>
          <w:tcPr>
            <w:tcW w:w="851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6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7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120"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DPP 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Docetaxel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Cisplatin</w:t>
            </w:r>
          </w:p>
        </w:tc>
      </w:tr>
      <w:tr w:rsidR="00D34F41" w:rsidRPr="00D34F41" w:rsidTr="006E4DC0">
        <w:trPr>
          <w:trHeight w:val="344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 xml:space="preserve">A2780 </w:t>
            </w:r>
          </w:p>
        </w:tc>
        <w:tc>
          <w:tcPr>
            <w:tcW w:w="851" w:type="dxa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2.04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1.72</w:t>
            </w:r>
          </w:p>
        </w:tc>
        <w:tc>
          <w:tcPr>
            <w:tcW w:w="851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0.62</w:t>
            </w:r>
          </w:p>
        </w:tc>
        <w:tc>
          <w:tcPr>
            <w:tcW w:w="850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1.41</w:t>
            </w:r>
          </w:p>
        </w:tc>
        <w:tc>
          <w:tcPr>
            <w:tcW w:w="851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1.88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1.75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2.16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-0.186</w:t>
            </w:r>
          </w:p>
        </w:tc>
      </w:tr>
      <w:tr w:rsidR="00D34F41" w:rsidRPr="00D34F41" w:rsidTr="006E4DC0">
        <w:trPr>
          <w:trHeight w:val="344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 xml:space="preserve">PC-3 </w:t>
            </w:r>
          </w:p>
        </w:tc>
        <w:tc>
          <w:tcPr>
            <w:tcW w:w="851" w:type="dxa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2.07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2.39</w:t>
            </w:r>
          </w:p>
        </w:tc>
        <w:tc>
          <w:tcPr>
            <w:tcW w:w="851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2.10</w:t>
            </w:r>
          </w:p>
        </w:tc>
        <w:tc>
          <w:tcPr>
            <w:tcW w:w="850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2.02</w:t>
            </w:r>
          </w:p>
        </w:tc>
        <w:tc>
          <w:tcPr>
            <w:tcW w:w="851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2.30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2.41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2.44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-0.213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</w:t>
            </w:r>
          </w:p>
        </w:tc>
      </w:tr>
      <w:tr w:rsidR="00D34F41" w:rsidRPr="00D34F41" w:rsidTr="006E4DC0">
        <w:trPr>
          <w:trHeight w:val="344"/>
        </w:trPr>
        <w:tc>
          <w:tcPr>
            <w:tcW w:w="1276" w:type="dxa"/>
            <w:tcBorders>
              <w:lef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</w:pPr>
            <w:r w:rsidRPr="00D34F41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/>
              </w:rPr>
              <w:t>LNCaP</w:t>
            </w:r>
          </w:p>
        </w:tc>
        <w:tc>
          <w:tcPr>
            <w:tcW w:w="851" w:type="dxa"/>
            <w:vAlign w:val="center"/>
          </w:tcPr>
          <w:p w:rsidR="00D34F41" w:rsidRPr="00D34F41" w:rsidRDefault="00D34F41" w:rsidP="00D34F41">
            <w:pPr>
              <w:tabs>
                <w:tab w:val="left" w:pos="284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2.09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2.14</w:t>
            </w:r>
          </w:p>
        </w:tc>
        <w:tc>
          <w:tcPr>
            <w:tcW w:w="851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2.06</w:t>
            </w:r>
          </w:p>
        </w:tc>
        <w:tc>
          <w:tcPr>
            <w:tcW w:w="850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1.77</w:t>
            </w:r>
          </w:p>
        </w:tc>
        <w:tc>
          <w:tcPr>
            <w:tcW w:w="851" w:type="dxa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2.29</w:t>
            </w:r>
          </w:p>
        </w:tc>
        <w:tc>
          <w:tcPr>
            <w:tcW w:w="850" w:type="dxa"/>
            <w:gridSpan w:val="2"/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1.94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2.30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-0.213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4F41" w:rsidRPr="00D34F41" w:rsidRDefault="00D34F41" w:rsidP="00D34F41">
            <w:pPr>
              <w:tabs>
                <w:tab w:val="left" w:pos="284"/>
              </w:tabs>
              <w:spacing w:before="40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D34F4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-</w:t>
            </w:r>
          </w:p>
        </w:tc>
      </w:tr>
    </w:tbl>
    <w:p w:rsidR="00D34F41" w:rsidRPr="00D34F41" w:rsidRDefault="00D34F41" w:rsidP="00D34F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4F4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a </w:t>
      </w:r>
      <w:r w:rsidRPr="00D34F41">
        <w:rPr>
          <w:rFonts w:ascii="Times New Roman" w:eastAsia="Calibri" w:hAnsi="Times New Roman" w:cs="Times New Roman"/>
          <w:sz w:val="24"/>
          <w:szCs w:val="24"/>
        </w:rPr>
        <w:t>Initial decomposition temperature</w:t>
      </w:r>
    </w:p>
    <w:p w:rsidR="00D34F41" w:rsidRPr="00D34F41" w:rsidRDefault="00D34F41" w:rsidP="00D34F4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34F41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r w:rsidRPr="00D34F41">
        <w:rPr>
          <w:rFonts w:ascii="Times New Roman" w:eastAsia="Calibri" w:hAnsi="Times New Roman" w:cs="Times New Roman"/>
          <w:sz w:val="24"/>
          <w:szCs w:val="24"/>
        </w:rPr>
        <w:t xml:space="preserve"> Decomposition temperature at 50 % mass loss</w:t>
      </w:r>
    </w:p>
    <w:p w:rsidR="00D34F41" w:rsidRPr="00D34F41" w:rsidRDefault="00D34F41" w:rsidP="00D34F41">
      <w:pPr>
        <w:spacing w:line="360" w:lineRule="auto"/>
        <w:jc w:val="both"/>
        <w:rPr>
          <w:rFonts w:ascii="Times New Roman" w:eastAsia="Calibri" w:hAnsi="Times New Roman" w:cs="Times New Roman"/>
          <w:sz w:val="24"/>
          <w:lang w:val="tr-TR"/>
        </w:rPr>
      </w:pPr>
    </w:p>
    <w:p w:rsidR="00D34F41" w:rsidRPr="00D34F41" w:rsidRDefault="00D34F41" w:rsidP="00D34F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4F41" w:rsidRPr="00D34F41" w:rsidRDefault="00D34F41" w:rsidP="00D34F41">
      <w:pPr>
        <w:rPr>
          <w:rFonts w:ascii="Times New Roman" w:eastAsia="Calibri" w:hAnsi="Times New Roman" w:cs="Times New Roman"/>
          <w:sz w:val="24"/>
          <w:lang w:val="tr-TR"/>
        </w:rPr>
      </w:pPr>
    </w:p>
    <w:p w:rsidR="00924F18" w:rsidRDefault="00924F18" w:rsidP="00924F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24F18" w:rsidSect="00F80F4F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846" w:rsidRDefault="00134846" w:rsidP="00EF26C6">
      <w:pPr>
        <w:spacing w:after="0" w:line="240" w:lineRule="auto"/>
      </w:pPr>
      <w:r>
        <w:separator/>
      </w:r>
    </w:p>
    <w:p w:rsidR="00134846" w:rsidRDefault="00134846"/>
    <w:p w:rsidR="00134846" w:rsidRDefault="00134846" w:rsidP="00924F18"/>
  </w:endnote>
  <w:endnote w:type="continuationSeparator" w:id="0">
    <w:p w:rsidR="00134846" w:rsidRDefault="00134846" w:rsidP="00EF26C6">
      <w:pPr>
        <w:spacing w:after="0" w:line="240" w:lineRule="auto"/>
      </w:pPr>
      <w:r>
        <w:continuationSeparator/>
      </w:r>
    </w:p>
    <w:p w:rsidR="00134846" w:rsidRDefault="00134846"/>
    <w:p w:rsidR="00134846" w:rsidRDefault="00134846" w:rsidP="00924F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846" w:rsidRDefault="00134846" w:rsidP="00EF26C6">
      <w:pPr>
        <w:spacing w:after="0" w:line="240" w:lineRule="auto"/>
      </w:pPr>
      <w:r>
        <w:separator/>
      </w:r>
    </w:p>
    <w:p w:rsidR="00134846" w:rsidRDefault="00134846"/>
    <w:p w:rsidR="00134846" w:rsidRDefault="00134846" w:rsidP="00924F18"/>
  </w:footnote>
  <w:footnote w:type="continuationSeparator" w:id="0">
    <w:p w:rsidR="00134846" w:rsidRDefault="00134846" w:rsidP="00EF26C6">
      <w:pPr>
        <w:spacing w:after="0" w:line="240" w:lineRule="auto"/>
      </w:pPr>
      <w:r>
        <w:continuationSeparator/>
      </w:r>
    </w:p>
    <w:p w:rsidR="00134846" w:rsidRDefault="00134846"/>
    <w:p w:rsidR="00134846" w:rsidRDefault="00134846" w:rsidP="00924F1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1785"/>
      <w:docPartObj>
        <w:docPartGallery w:val="Page Numbers (Top of Page)"/>
        <w:docPartUnique/>
      </w:docPartObj>
    </w:sdtPr>
    <w:sdtContent>
      <w:p w:rsidR="00F1789D" w:rsidRDefault="00F1789D">
        <w:pPr>
          <w:pStyle w:val="Header"/>
          <w:jc w:val="right"/>
        </w:pPr>
        <w:r>
          <w:t xml:space="preserve">S </w:t>
        </w:r>
        <w:r w:rsidR="00016EFF">
          <w:fldChar w:fldCharType="begin"/>
        </w:r>
        <w:r w:rsidR="004B0C99">
          <w:instrText xml:space="preserve"> PAGE   \* MERGEFORMAT </w:instrText>
        </w:r>
        <w:r w:rsidR="00016EFF">
          <w:fldChar w:fldCharType="separate"/>
        </w:r>
        <w:r w:rsidR="00340F7D">
          <w:rPr>
            <w:noProof/>
          </w:rPr>
          <w:t>5</w:t>
        </w:r>
        <w:r w:rsidR="00016EFF">
          <w:rPr>
            <w:noProof/>
          </w:rPr>
          <w:fldChar w:fldCharType="end"/>
        </w:r>
      </w:p>
    </w:sdtContent>
  </w:sdt>
  <w:p w:rsidR="00F1789D" w:rsidRDefault="00F1789D">
    <w:pPr>
      <w:pStyle w:val="Header"/>
    </w:pPr>
  </w:p>
  <w:p w:rsidR="00F059FB" w:rsidRDefault="00F059FB"/>
  <w:p w:rsidR="00F059FB" w:rsidRDefault="00F059FB" w:rsidP="00924F1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7F3"/>
    <w:rsid w:val="000047F3"/>
    <w:rsid w:val="00014842"/>
    <w:rsid w:val="00016EFF"/>
    <w:rsid w:val="00033CE9"/>
    <w:rsid w:val="00134846"/>
    <w:rsid w:val="00340F7D"/>
    <w:rsid w:val="00392161"/>
    <w:rsid w:val="003957D9"/>
    <w:rsid w:val="004B0C99"/>
    <w:rsid w:val="006E52F0"/>
    <w:rsid w:val="00733574"/>
    <w:rsid w:val="008553BE"/>
    <w:rsid w:val="00924F18"/>
    <w:rsid w:val="00A379C1"/>
    <w:rsid w:val="00AF351D"/>
    <w:rsid w:val="00C51409"/>
    <w:rsid w:val="00CF71CC"/>
    <w:rsid w:val="00D34F41"/>
    <w:rsid w:val="00DB1F30"/>
    <w:rsid w:val="00EB1F66"/>
    <w:rsid w:val="00EF26C6"/>
    <w:rsid w:val="00F059FB"/>
    <w:rsid w:val="00F1789D"/>
    <w:rsid w:val="00F80F4F"/>
    <w:rsid w:val="00FA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6C6"/>
  </w:style>
  <w:style w:type="paragraph" w:styleId="Footer">
    <w:name w:val="footer"/>
    <w:basedOn w:val="Normal"/>
    <w:link w:val="Footer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6C6"/>
  </w:style>
  <w:style w:type="paragraph" w:customStyle="1" w:styleId="SupplementalMaterialsTitle">
    <w:name w:val="Supplemental Materials Title"/>
    <w:basedOn w:val="Normal"/>
    <w:link w:val="SupplementalMaterialsTitle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paragraph" w:customStyle="1" w:styleId="SupplementalMaterialsAuthors">
    <w:name w:val="Supplemental Materials Authors"/>
    <w:basedOn w:val="Normal"/>
    <w:link w:val="SupplementalMaterialsAuthors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SupplementalMaterialsTitleChar">
    <w:name w:val="Supplemental Materials Title Char"/>
    <w:basedOn w:val="DefaultParagraphFont"/>
    <w:link w:val="SupplementalMaterialsTitle"/>
    <w:rsid w:val="00AF351D"/>
    <w:rPr>
      <w:rFonts w:ascii="Times New Roman" w:hAnsi="Times New Roman" w:cs="Times New Roman"/>
      <w:b/>
      <w:sz w:val="28"/>
      <w:szCs w:val="24"/>
    </w:rPr>
  </w:style>
  <w:style w:type="paragraph" w:customStyle="1" w:styleId="SupplementalMaterialsAffiliation">
    <w:name w:val="Supplemental Materials Affiliation"/>
    <w:basedOn w:val="Normal"/>
    <w:link w:val="SupplementalMaterialsAffiliation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upplementalMaterialsAuthorsChar">
    <w:name w:val="Supplemental Materials Authors Char"/>
    <w:basedOn w:val="DefaultParagraphFont"/>
    <w:link w:val="SupplementalMaterialsAuthors"/>
    <w:rsid w:val="00AF351D"/>
    <w:rPr>
      <w:rFonts w:ascii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upplementalMaterialsAffiliationChar">
    <w:name w:val="Supplemental Materials Affiliation Char"/>
    <w:basedOn w:val="DefaultParagraphFont"/>
    <w:link w:val="SupplementalMaterialsAffiliation"/>
    <w:rsid w:val="00AF351D"/>
    <w:rPr>
      <w:rFonts w:ascii="Times New Roman" w:hAnsi="Times New Roman" w:cs="Times New Roman"/>
      <w:sz w:val="24"/>
      <w:szCs w:val="24"/>
    </w:rPr>
  </w:style>
  <w:style w:type="paragraph" w:customStyle="1" w:styleId="SupplementalMaterialsText">
    <w:name w:val="Supplemental Materials Text"/>
    <w:basedOn w:val="Normal"/>
    <w:link w:val="SupplementalMaterialsTextChar"/>
    <w:qFormat/>
    <w:rsid w:val="008553BE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AF351D"/>
    <w:rPr>
      <w:rFonts w:ascii="Times New Roman" w:hAnsi="Times New Roman" w:cs="Times New Roman"/>
      <w:sz w:val="24"/>
      <w:szCs w:val="24"/>
    </w:rPr>
  </w:style>
  <w:style w:type="character" w:customStyle="1" w:styleId="SupplementalMaterialsTextChar">
    <w:name w:val="Supplemental Materials Text Char"/>
    <w:basedOn w:val="DefaultParagraphFont"/>
    <w:link w:val="SupplementalMaterialsText"/>
    <w:rsid w:val="008553BE"/>
    <w:rPr>
      <w:rFonts w:ascii="Times New Roman" w:hAnsi="Times New Roman" w:cs="Times New Roman"/>
      <w:sz w:val="24"/>
      <w:szCs w:val="24"/>
    </w:rPr>
  </w:style>
  <w:style w:type="table" w:styleId="TableSimple1">
    <w:name w:val="Table Simple 1"/>
    <w:basedOn w:val="TableNormal"/>
    <w:rsid w:val="00DB1F3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DB1F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character" w:customStyle="1" w:styleId="BodyTextChar">
    <w:name w:val="Body Text Char"/>
    <w:basedOn w:val="DefaultParagraphFont"/>
    <w:link w:val="BodyText"/>
    <w:rsid w:val="00DB1F30"/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paragraph" w:styleId="BodyText2">
    <w:name w:val="Body Text 2"/>
    <w:basedOn w:val="Normal"/>
    <w:link w:val="BodyText2Char"/>
    <w:rsid w:val="00DB1F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customStyle="1" w:styleId="BodyText2Char">
    <w:name w:val="Body Text 2 Char"/>
    <w:basedOn w:val="DefaultParagraphFont"/>
    <w:link w:val="BodyText2"/>
    <w:rsid w:val="00DB1F30"/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styleId="Hyperlink">
    <w:name w:val="Hyperlink"/>
    <w:basedOn w:val="DefaultParagraphFont"/>
    <w:rsid w:val="00DB1F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kkoran@firat.edu.tr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48C97-503F-4144-96CC-88451A91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EIC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pssi</dc:creator>
  <cp:lastModifiedBy>Anne Hirs</cp:lastModifiedBy>
  <cp:revision>2</cp:revision>
  <dcterms:created xsi:type="dcterms:W3CDTF">2017-06-15T20:50:00Z</dcterms:created>
  <dcterms:modified xsi:type="dcterms:W3CDTF">2017-06-15T20:50:00Z</dcterms:modified>
</cp:coreProperties>
</file>